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D62C" w14:textId="77777777" w:rsidR="00823CE6" w:rsidRDefault="00823CE6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</w:p>
    <w:p w14:paraId="26F14122" w14:textId="77777777" w:rsidR="00823CE6" w:rsidRDefault="00000000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>长春市九台区文化广播电视和旅游局</w:t>
      </w:r>
    </w:p>
    <w:p w14:paraId="105C8574" w14:textId="77777777" w:rsidR="00823CE6" w:rsidRDefault="00000000">
      <w:pPr>
        <w:pStyle w:val="1"/>
        <w:spacing w:before="0" w:afterLines="100" w:after="312"/>
        <w:jc w:val="center"/>
        <w:rPr>
          <w:rFonts w:ascii="Times New Roman" w:eastAsia="等线" w:hAnsi="Times New Roman" w:cs="Times New Roman"/>
          <w:bCs/>
          <w:sz w:val="32"/>
        </w:rPr>
      </w:pPr>
      <w:r>
        <w:rPr>
          <w:rFonts w:ascii="Times New Roman" w:eastAsia="等线" w:hAnsi="Times New Roman" w:cs="Times New Roman"/>
          <w:bCs/>
          <w:sz w:val="32"/>
          <w:szCs w:val="32"/>
        </w:rPr>
        <w:t>2022</w:t>
      </w:r>
      <w:r>
        <w:rPr>
          <w:rFonts w:ascii="Times New Roman" w:eastAsia="等线" w:hAnsi="Times New Roman" w:cs="Times New Roman"/>
          <w:bCs/>
          <w:sz w:val="32"/>
          <w:szCs w:val="32"/>
        </w:rPr>
        <w:t>年度部门整体支出</w:t>
      </w:r>
    </w:p>
    <w:p w14:paraId="48786D49" w14:textId="77777777" w:rsidR="00823CE6" w:rsidRDefault="00000000">
      <w:pPr>
        <w:spacing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4F05618F" w14:textId="77777777" w:rsidR="00823CE6" w:rsidRDefault="00823CE6">
      <w:pPr>
        <w:spacing w:line="576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14:paraId="1C7C9533" w14:textId="77777777" w:rsidR="00823CE6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一、部门资金投入及支出情况</w:t>
      </w:r>
    </w:p>
    <w:p w14:paraId="72748EBB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年部门整体支出预算</w:t>
      </w:r>
      <w:r>
        <w:rPr>
          <w:rFonts w:ascii="Times New Roman" w:eastAsia="仿宋_GB2312" w:hAnsi="Times New Roman" w:cs="Times New Roman"/>
          <w:sz w:val="32"/>
          <w:szCs w:val="32"/>
        </w:rPr>
        <w:t>8012.81</w:t>
      </w:r>
      <w:r>
        <w:rPr>
          <w:rFonts w:ascii="Times New Roman" w:eastAsia="仿宋_GB2312" w:hAnsi="Times New Roman" w:cs="Times New Roman"/>
          <w:sz w:val="32"/>
          <w:szCs w:val="32"/>
        </w:rPr>
        <w:t>万元。其中，基本支出</w:t>
      </w:r>
      <w:r>
        <w:rPr>
          <w:rFonts w:ascii="Times New Roman" w:eastAsia="仿宋_GB2312" w:hAnsi="Times New Roman" w:cs="Times New Roman"/>
          <w:sz w:val="32"/>
          <w:szCs w:val="32"/>
        </w:rPr>
        <w:t>613.30</w:t>
      </w:r>
      <w:r>
        <w:rPr>
          <w:rFonts w:ascii="Times New Roman" w:eastAsia="仿宋_GB2312" w:hAnsi="Times New Roman" w:cs="Times New Roman"/>
          <w:sz w:val="32"/>
          <w:szCs w:val="32"/>
        </w:rPr>
        <w:t>万元；项目支出</w:t>
      </w:r>
      <w:r>
        <w:rPr>
          <w:rFonts w:ascii="Times New Roman" w:eastAsia="仿宋_GB2312" w:hAnsi="Times New Roman" w:cs="Times New Roman"/>
          <w:sz w:val="32"/>
          <w:szCs w:val="32"/>
        </w:rPr>
        <w:t>7399.51</w:t>
      </w:r>
      <w:r>
        <w:rPr>
          <w:rFonts w:ascii="Times New Roman" w:eastAsia="仿宋_GB2312" w:hAnsi="Times New Roman" w:cs="Times New Roman"/>
          <w:sz w:val="32"/>
          <w:szCs w:val="32"/>
        </w:rPr>
        <w:t>万元。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年部门整体支出决算</w:t>
      </w:r>
      <w:r>
        <w:rPr>
          <w:rFonts w:ascii="Times New Roman" w:eastAsia="仿宋_GB2312" w:hAnsi="Times New Roman" w:cs="Times New Roman"/>
          <w:sz w:val="32"/>
          <w:szCs w:val="32"/>
        </w:rPr>
        <w:t>8025.24</w:t>
      </w:r>
      <w:r>
        <w:rPr>
          <w:rFonts w:ascii="Times New Roman" w:eastAsia="仿宋_GB2312" w:hAnsi="Times New Roman" w:cs="Times New Roman"/>
          <w:sz w:val="32"/>
          <w:szCs w:val="32"/>
        </w:rPr>
        <w:t>万元。其中：基本支出</w:t>
      </w:r>
      <w:r>
        <w:rPr>
          <w:rFonts w:ascii="Times New Roman" w:eastAsia="仿宋_GB2312" w:hAnsi="Times New Roman" w:cs="Times New Roman"/>
          <w:sz w:val="32"/>
          <w:szCs w:val="32"/>
        </w:rPr>
        <w:t>825.24</w:t>
      </w:r>
      <w:r>
        <w:rPr>
          <w:rFonts w:ascii="Times New Roman" w:eastAsia="仿宋_GB2312" w:hAnsi="Times New Roman" w:cs="Times New Roman"/>
          <w:sz w:val="32"/>
          <w:szCs w:val="32"/>
        </w:rPr>
        <w:t>万元；项目支出</w:t>
      </w:r>
      <w:r>
        <w:rPr>
          <w:rFonts w:ascii="Times New Roman" w:eastAsia="仿宋_GB2312" w:hAnsi="Times New Roman" w:cs="Times New Roman"/>
          <w:sz w:val="32"/>
          <w:szCs w:val="32"/>
        </w:rPr>
        <w:t>7200.01</w:t>
      </w:r>
      <w:r>
        <w:rPr>
          <w:rFonts w:ascii="Times New Roman" w:eastAsia="仿宋_GB2312" w:hAnsi="Times New Roman" w:cs="Times New Roman"/>
          <w:sz w:val="32"/>
          <w:szCs w:val="32"/>
        </w:rPr>
        <w:t>万元。</w:t>
      </w:r>
    </w:p>
    <w:p w14:paraId="7C948787" w14:textId="77777777" w:rsidR="00823CE6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二、评价结论</w:t>
      </w:r>
    </w:p>
    <w:p w14:paraId="69203FF3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该项目绩效评价结果为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。主要绩效有：</w:t>
      </w:r>
    </w:p>
    <w:p w14:paraId="15423B80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落实区委、区政府决策部署，抢抓后疫情时代文旅产业发展机遇，高质量完成《全域旅游发展规划》。</w:t>
      </w:r>
    </w:p>
    <w:p w14:paraId="28F15865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以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文化创意城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为总抓手，大力推进文旅产业发展。成功获批文旅部和国开行联合发行的开发性文旅产业基金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12 </w:t>
      </w:r>
      <w:r>
        <w:rPr>
          <w:rFonts w:ascii="Times New Roman" w:eastAsia="仿宋_GB2312" w:hAnsi="Times New Roman" w:cs="Times New Roman"/>
          <w:sz w:val="32"/>
          <w:szCs w:val="32"/>
        </w:rPr>
        <w:t>亿元授信指标。</w:t>
      </w:r>
    </w:p>
    <w:p w14:paraId="4DD8EBB0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申报国家、省市级乡村旅游精品村、重点村和精品乡村。其塔木镇刘家满族村相继荣获省级、国家级传统村落；龙嘉红光村被评为国家级乡村旅游重点村；土们岭街道被评为省级乡村旅游重点镇；兴隆前岗子村被评为省级乡村旅游重点村；东湖街道的听湖创意农场被评为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3A </w:t>
      </w:r>
      <w:r>
        <w:rPr>
          <w:rFonts w:ascii="Times New Roman" w:eastAsia="仿宋_GB2312" w:hAnsi="Times New Roman" w:cs="Times New Roman"/>
          <w:sz w:val="32"/>
          <w:szCs w:val="32"/>
        </w:rPr>
        <w:t>级乡村旅游经营单位；红光村、五一村、马鞍山村被评为市级乡村旅游精品村。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庙香山冰雪产业进一步壮大，马鞍山田园综合体二期项目，完成内部配套道路、水电等基础设施建设。在全区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“1728 </w:t>
      </w:r>
      <w:r>
        <w:rPr>
          <w:rFonts w:ascii="Times New Roman" w:eastAsia="仿宋_GB2312" w:hAnsi="Times New Roman" w:cs="Times New Roman"/>
          <w:sz w:val="32"/>
          <w:szCs w:val="32"/>
        </w:rPr>
        <w:t>工程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评选表彰中获得一类。</w:t>
      </w:r>
    </w:p>
    <w:p w14:paraId="15D6A657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围绕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喜迎二十大，奋进新征程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主题开展各类文化活动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50 </w:t>
      </w:r>
      <w:r>
        <w:rPr>
          <w:rFonts w:ascii="Times New Roman" w:eastAsia="仿宋_GB2312" w:hAnsi="Times New Roman" w:cs="Times New Roman"/>
          <w:sz w:val="32"/>
          <w:szCs w:val="32"/>
        </w:rPr>
        <w:t>场次，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送演出下基层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”28 </w:t>
      </w:r>
      <w:r>
        <w:rPr>
          <w:rFonts w:ascii="Times New Roman" w:eastAsia="仿宋_GB2312" w:hAnsi="Times New Roman" w:cs="Times New Roman"/>
          <w:sz w:val="32"/>
          <w:szCs w:val="32"/>
        </w:rPr>
        <w:t>场次，申请非遗项目保护资金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50 </w:t>
      </w:r>
      <w:r>
        <w:rPr>
          <w:rFonts w:ascii="Times New Roman" w:eastAsia="仿宋_GB2312" w:hAnsi="Times New Roman" w:cs="Times New Roman"/>
          <w:sz w:val="32"/>
          <w:szCs w:val="32"/>
        </w:rPr>
        <w:t>万元，配合吉林省文物考古研究所对九台境内的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一小时经济圈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高速公路进行文物考古发掘。</w:t>
      </w:r>
    </w:p>
    <w:p w14:paraId="66B8248E" w14:textId="77777777" w:rsidR="00823CE6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积极开展全民健身活动，提升群众幸福指数。全年举办各类体育培训、大型体育赛事活动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30 </w:t>
      </w:r>
      <w:r>
        <w:rPr>
          <w:rFonts w:ascii="Times New Roman" w:eastAsia="仿宋_GB2312" w:hAnsi="Times New Roman" w:cs="Times New Roman"/>
          <w:sz w:val="32"/>
          <w:szCs w:val="32"/>
        </w:rPr>
        <w:t>场次。共培训各级社会体育指导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1281 </w:t>
      </w:r>
      <w:r>
        <w:rPr>
          <w:rFonts w:ascii="Times New Roman" w:eastAsia="仿宋_GB2312" w:hAnsi="Times New Roman" w:cs="Times New Roman"/>
          <w:sz w:val="32"/>
          <w:szCs w:val="32"/>
        </w:rPr>
        <w:t>人，其中国家级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15 </w:t>
      </w:r>
      <w:r>
        <w:rPr>
          <w:rFonts w:ascii="Times New Roman" w:eastAsia="仿宋_GB2312" w:hAnsi="Times New Roman" w:cs="Times New Roman"/>
          <w:sz w:val="32"/>
          <w:szCs w:val="32"/>
        </w:rPr>
        <w:t>人，一级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67 </w:t>
      </w:r>
      <w:r>
        <w:rPr>
          <w:rFonts w:ascii="Times New Roman" w:eastAsia="仿宋_GB2312" w:hAnsi="Times New Roman" w:cs="Times New Roman"/>
          <w:sz w:val="32"/>
          <w:szCs w:val="32"/>
        </w:rPr>
        <w:t>人，二级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798 </w:t>
      </w:r>
      <w:r>
        <w:rPr>
          <w:rFonts w:ascii="Times New Roman" w:eastAsia="仿宋_GB2312" w:hAnsi="Times New Roman" w:cs="Times New Roman"/>
          <w:sz w:val="32"/>
          <w:szCs w:val="32"/>
        </w:rPr>
        <w:t>人，三级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402 </w:t>
      </w:r>
      <w:r>
        <w:rPr>
          <w:rFonts w:ascii="Times New Roman" w:eastAsia="仿宋_GB2312" w:hAnsi="Times New Roman" w:cs="Times New Roman"/>
          <w:sz w:val="32"/>
          <w:szCs w:val="32"/>
        </w:rPr>
        <w:t>人。举办了全区足球联赛，气排球联赛，乒乓球联赛等各项赛事活动，提振精神，鼓舞士气。在省级各类专业赛事中获得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12 </w:t>
      </w:r>
      <w:r>
        <w:rPr>
          <w:rFonts w:ascii="Times New Roman" w:eastAsia="仿宋_GB2312" w:hAnsi="Times New Roman" w:cs="Times New Roman"/>
          <w:sz w:val="32"/>
          <w:szCs w:val="32"/>
        </w:rPr>
        <w:t>枚金牌、</w:t>
      </w:r>
      <w:r>
        <w:rPr>
          <w:rFonts w:ascii="Times New Roman" w:eastAsia="仿宋_GB2312" w:hAnsi="Times New Roman" w:cs="Times New Roman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sz w:val="32"/>
          <w:szCs w:val="32"/>
        </w:rPr>
        <w:t>枚银牌、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7 </w:t>
      </w:r>
      <w:r>
        <w:rPr>
          <w:rFonts w:ascii="Times New Roman" w:eastAsia="仿宋_GB2312" w:hAnsi="Times New Roman" w:cs="Times New Roman"/>
          <w:sz w:val="32"/>
          <w:szCs w:val="32"/>
        </w:rPr>
        <w:t>枚铜牌。</w:t>
      </w:r>
    </w:p>
    <w:p w14:paraId="415F4A55" w14:textId="77777777" w:rsidR="00823CE6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存在问题及原因</w:t>
      </w:r>
    </w:p>
    <w:p w14:paraId="7FB3642F" w14:textId="77777777" w:rsidR="00823CE6" w:rsidRDefault="00000000">
      <w:pPr>
        <w:spacing w:line="576" w:lineRule="exact"/>
        <w:ind w:firstLineChars="200" w:firstLine="6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部门年度工作计划、绩效目标不够明确具体，部门没有依据绩效目标设定清晰、细化、可衡量的绩效指标，管理制度尚待健全完整，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部门没有设立绩效目标实现的长效机制。</w:t>
      </w:r>
    </w:p>
    <w:p w14:paraId="20175FF4" w14:textId="77777777" w:rsidR="00823CE6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有关建议</w:t>
      </w:r>
    </w:p>
    <w:p w14:paraId="3BC8D74D" w14:textId="77777777" w:rsidR="00823CE6" w:rsidRDefault="00000000">
      <w:pPr>
        <w:widowControl/>
        <w:kinsoku w:val="0"/>
        <w:autoSpaceDE w:val="0"/>
        <w:autoSpaceDN w:val="0"/>
        <w:adjustRightInd w:val="0"/>
        <w:snapToGrid w:val="0"/>
        <w:spacing w:line="576" w:lineRule="exact"/>
        <w:ind w:firstLineChars="200" w:firstLine="600"/>
        <w:textAlignment w:val="baseline"/>
        <w:rPr>
          <w:rFonts w:ascii="Times New Roman" w:eastAsia="仿宋_GB2312" w:hAnsi="Times New Roman" w:cs="Times New Roman"/>
          <w:spacing w:val="-10"/>
          <w:sz w:val="32"/>
          <w:szCs w:val="32"/>
        </w:rPr>
      </w:pP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部门需制定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具有明确的年度总体目标、工作计划实施内容、责任主体相关内容的年度工作计划，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设定具体的年度整体支出绩效目标，依据绩效目标设定清晰、细化、可衡量的绩效指标。建立健全完整的绩效管理制度，包括绩效跟踪管理办法等一系统整体支出绩效管理制度。建立健全部门绩效目标实现的长效机制。建立比较规范、稳定、配套的绩效目标实现制度体系，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lastRenderedPageBreak/>
        <w:t>具备推动制度正常运行的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动力源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，即要成立积极推动和监督制度运行的组织。</w:t>
      </w:r>
    </w:p>
    <w:p w14:paraId="22F87FA3" w14:textId="77777777" w:rsidR="00823CE6" w:rsidRDefault="00823CE6">
      <w:pPr>
        <w:spacing w:line="576" w:lineRule="exact"/>
        <w:ind w:leftChars="200" w:left="420"/>
        <w:rPr>
          <w:rFonts w:ascii="Times New Roman" w:eastAsia="黑体" w:hAnsi="Times New Roman" w:cs="Times New Roman"/>
          <w:sz w:val="32"/>
          <w:szCs w:val="32"/>
        </w:rPr>
      </w:pPr>
    </w:p>
    <w:sectPr w:rsidR="00823CE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8A3F1" w14:textId="77777777" w:rsidR="00F33495" w:rsidRDefault="00F33495">
      <w:r>
        <w:separator/>
      </w:r>
    </w:p>
  </w:endnote>
  <w:endnote w:type="continuationSeparator" w:id="0">
    <w:p w14:paraId="2DEEE56D" w14:textId="77777777" w:rsidR="00F33495" w:rsidRDefault="00F3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8978" w14:textId="77777777" w:rsidR="00823CE6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48E079" wp14:editId="4CD86ED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209D8C" w14:textId="77777777" w:rsidR="00823CE6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8E07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6209D8C" w14:textId="77777777" w:rsidR="00823CE6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2D97" w14:textId="77777777" w:rsidR="00F33495" w:rsidRDefault="00F33495">
      <w:r>
        <w:separator/>
      </w:r>
    </w:p>
  </w:footnote>
  <w:footnote w:type="continuationSeparator" w:id="0">
    <w:p w14:paraId="49FC258B" w14:textId="77777777" w:rsidR="00F33495" w:rsidRDefault="00F33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C0A15"/>
    <w:multiLevelType w:val="singleLevel"/>
    <w:tmpl w:val="564C0A1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343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823CE6"/>
    <w:rsid w:val="00046CA0"/>
    <w:rsid w:val="003D297A"/>
    <w:rsid w:val="00823CE6"/>
    <w:rsid w:val="00906786"/>
    <w:rsid w:val="00F33495"/>
    <w:rsid w:val="030376E3"/>
    <w:rsid w:val="04934A97"/>
    <w:rsid w:val="06676F98"/>
    <w:rsid w:val="097F1A8E"/>
    <w:rsid w:val="099B590B"/>
    <w:rsid w:val="0AF4186D"/>
    <w:rsid w:val="0F851480"/>
    <w:rsid w:val="0F9B2D3F"/>
    <w:rsid w:val="0F9F2542"/>
    <w:rsid w:val="10CF50A9"/>
    <w:rsid w:val="16FA6A59"/>
    <w:rsid w:val="17E551B2"/>
    <w:rsid w:val="1C4918AC"/>
    <w:rsid w:val="211663DC"/>
    <w:rsid w:val="21E32721"/>
    <w:rsid w:val="2228557D"/>
    <w:rsid w:val="236B6EB3"/>
    <w:rsid w:val="245A2A83"/>
    <w:rsid w:val="2A223CF9"/>
    <w:rsid w:val="2B5D17D7"/>
    <w:rsid w:val="2E6E6427"/>
    <w:rsid w:val="2F2E6FE6"/>
    <w:rsid w:val="30CA3D76"/>
    <w:rsid w:val="328E2276"/>
    <w:rsid w:val="32C2529C"/>
    <w:rsid w:val="33CA5530"/>
    <w:rsid w:val="354B26A0"/>
    <w:rsid w:val="362D624A"/>
    <w:rsid w:val="373F63C5"/>
    <w:rsid w:val="38BB7B3D"/>
    <w:rsid w:val="3B331A0F"/>
    <w:rsid w:val="40752CC7"/>
    <w:rsid w:val="43A25CF2"/>
    <w:rsid w:val="44F00B6E"/>
    <w:rsid w:val="48B87BF5"/>
    <w:rsid w:val="4A9D3546"/>
    <w:rsid w:val="4CAC6C6D"/>
    <w:rsid w:val="4FB20F33"/>
    <w:rsid w:val="50382A15"/>
    <w:rsid w:val="523D57F0"/>
    <w:rsid w:val="56102E1E"/>
    <w:rsid w:val="56BE0ACC"/>
    <w:rsid w:val="5A302E56"/>
    <w:rsid w:val="5B6854AA"/>
    <w:rsid w:val="5C2724FA"/>
    <w:rsid w:val="5DA231D6"/>
    <w:rsid w:val="5FD205E8"/>
    <w:rsid w:val="60C56EFB"/>
    <w:rsid w:val="62347E94"/>
    <w:rsid w:val="64B452BD"/>
    <w:rsid w:val="65870C23"/>
    <w:rsid w:val="65A215B9"/>
    <w:rsid w:val="660D737A"/>
    <w:rsid w:val="67235CFE"/>
    <w:rsid w:val="69717C20"/>
    <w:rsid w:val="6B603B5D"/>
    <w:rsid w:val="6C333CE4"/>
    <w:rsid w:val="6E0C6169"/>
    <w:rsid w:val="6F711587"/>
    <w:rsid w:val="6FD35191"/>
    <w:rsid w:val="73944C37"/>
    <w:rsid w:val="762B1157"/>
    <w:rsid w:val="78537116"/>
    <w:rsid w:val="79123B53"/>
    <w:rsid w:val="7D27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3894B"/>
  <w15:docId w15:val="{A8BA6624-BFE5-4377-8C58-0894FE50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2023-10-18T06:07:00Z</dcterms:created>
  <dcterms:modified xsi:type="dcterms:W3CDTF">2023-10-18T06:07:00Z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765E0E53CE804E2BB9B457D79BD53800_13</vt:lpwstr>
  </property>
</Properties>
</file>